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071235"/>
            <wp:effectExtent l="0" t="0" r="3175" b="571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07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514850"/>
            <wp:effectExtent l="0" t="0" r="5080" b="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4952365"/>
            <wp:effectExtent l="0" t="0" r="5715" b="63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95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1597025"/>
            <wp:effectExtent l="0" t="0" r="2540" b="317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957955"/>
            <wp:effectExtent l="0" t="0" r="14605" b="4445"/>
            <wp:docPr id="6" name="图片 6" descr="四川油气田2023年度优秀新闻作品（新媒体）参评稿件目录表（川西北气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四川油气田2023年度优秀新闻作品（新媒体）参评稿件目录表（川西北气矿）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12F4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2024-04-11T07:19:38Z</dcterms:created>
  <dc:creator>qc</dc:creator>
  <cp:lastModifiedBy>王沛</cp:lastModifiedBy>
  <dcterms:modified xsi:type="dcterms:W3CDTF">2024-04-11T07:20:11Z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</Properties>
</file>