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6288405"/>
            <wp:effectExtent l="0" t="0" r="2540" b="17145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288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6189345"/>
            <wp:effectExtent l="0" t="0" r="6350" b="1905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189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5831840"/>
            <wp:effectExtent l="0" t="0" r="6985" b="16510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5831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2245" cy="3957955"/>
            <wp:effectExtent l="0" t="0" r="14605" b="4445"/>
            <wp:docPr id="4" name="图片 4" descr="四川油气田2023年度优秀新闻作品（新媒体）参评稿件目录表（川西北气矿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四川油气田2023年度优秀新闻作品（新媒体）参评稿件目录表（川西北气矿）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957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C447142"/>
    <w:rsid w:val="7F250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2024-04-11T07:30:00Z</dcterms:created>
  <dc:creator>qc</dc:creator>
  <cp:lastModifiedBy>Administrator</cp:lastModifiedBy>
  <dcterms:modified xsi:type="dcterms:W3CDTF">2024-04-12T10:22:38Z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C6DAAAA2ACAD4A8C8467E23BBDC398F5_13</vt:lpwstr>
  </property>
</Properties>
</file>