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附件1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上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before="156" w:beforeLines="5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文字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类作品</w:t>
      </w:r>
    </w:p>
    <w:tbl>
      <w:tblPr>
        <w:tblStyle w:val="2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060"/>
        <w:gridCol w:w="1002"/>
        <w:gridCol w:w="57"/>
        <w:gridCol w:w="1260"/>
        <w:gridCol w:w="1080"/>
        <w:gridCol w:w="392"/>
        <w:gridCol w:w="56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黑体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长庆钻井总公司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 目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ascii="方正仿宋简体" w:hAnsi="宋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Times New Roman"/>
                <w:sz w:val="21"/>
                <w:szCs w:val="21"/>
                <w:lang w:val="en-US" w:eastAsia="zh-CN"/>
              </w:rPr>
              <w:t>川庆钻探：“效率助手”确保当天完成开钻准备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体裁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消息类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 者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李进荣  李亚桐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编 辑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刘玲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 出日 期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1"/>
                <w:szCs w:val="21"/>
                <w:lang w:val="en-US" w:eastAsia="zh-CN"/>
              </w:rPr>
              <w:t>2025年2月20日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default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1"/>
                <w:szCs w:val="21"/>
                <w:lang w:val="en-US" w:eastAsia="zh-CN"/>
              </w:rPr>
              <w:t>门户川庆 今日川庆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链接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 w:cs="Times New Roman"/>
                <w:sz w:val="21"/>
                <w:szCs w:val="21"/>
                <w:lang w:val="en-US" w:eastAsia="zh-CN"/>
              </w:rPr>
              <w:t>https://eip.cnpc/news/jtxw/jryw/jryw/20250227075641699.aspx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869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加快推进数智赋能对钻井行业高质高效发展极为重要。该新闻全面介绍了长庆钻井开发的“生产启动模块”，成功实现了“当天到队、当天开钻”的高效组织生产目标。该新闻在川庆网刊登后，收到中油技服的高度关注，推送到中石报刊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0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该新闻通过生产启动的新旧模式对比、事例、数据等，全面展示了数智赋能助力钻井生产。在中石报刊登后，获得1251次访问量，并在当日的“今日头条”刊登，在今日川庆微信公众号获得1466次阅读量。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 年  月  日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A0973"/>
    <w:rsid w:val="38DA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2025-06-12T09:13:00Z</dcterms:created>
  <dc:creator>张领航</dc:creator>
  <cp:lastModifiedBy>张领航</cp:lastModifiedBy>
  <dcterms:modified xsi:type="dcterms:W3CDTF">2025-06-12T09:22:44Z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