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文字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1"/>
                <w:szCs w:val="21"/>
              </w:rPr>
              <w:t>苏里格气田首口“二开小井眼水平井”完钻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李进荣 覃超 黄鑫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2025年6月3日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门户川庆  今日川庆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https://ccde.eip.cnpc/news/mhcq/202505300948332486.aspx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苏东22-90H2井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是长庆油田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2025年钻井工程寻求“提速增效”的重点试验项目，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施工中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充分发挥甲乙双方一体化、地质工程一体化优势，首次实现165.1毫米小井眼二开水平井苏里格气田“零突破”。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在苏里格致密气田开发中，长庆钻井发扬铁军精神，敢啃“硬骨头”、敢碰“烫山芋”，紧跟长庆油田步伐开展技术攻关，实现了质效大幅度提升。这一技术对苏里格致密气田效益开发是全新“解码”。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E1A14"/>
    <w:rsid w:val="6F2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2025-06-12T09:14:00Z</dcterms:created>
  <dc:creator>张领航</dc:creator>
  <cp:lastModifiedBy>张领航</cp:lastModifiedBy>
  <dcterms:modified xsi:type="dcterms:W3CDTF">2025-06-12T09:22:58Z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