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上</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hint="default" w:ascii="方正黑体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钻井液技术服务公司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 目</w:t>
            </w:r>
          </w:p>
        </w:tc>
        <w:tc>
          <w:tcPr>
            <w:tcW w:w="4459" w:type="dxa"/>
            <w:gridSpan w:val="5"/>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【十大工程】钻井液公司清洁生产业务在疆获千万大单</w:t>
            </w:r>
          </w:p>
        </w:tc>
        <w:tc>
          <w:tcPr>
            <w:tcW w:w="961"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体裁</w:t>
            </w:r>
          </w:p>
        </w:tc>
        <w:tc>
          <w:tcPr>
            <w:tcW w:w="2071" w:type="dxa"/>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lang w:eastAsia="zh-CN"/>
              </w:rPr>
            </w:pPr>
            <w:r>
              <w:rPr>
                <w:rFonts w:hint="eastAsia" w:ascii="方正仿宋简体" w:hAnsi="宋体" w:eastAsia="方正仿宋简体" w:cs="Times New Roman"/>
                <w:sz w:val="28"/>
                <w:szCs w:val="28"/>
                <w:lang w:val="en-US" w:eastAsia="zh-CN"/>
              </w:rPr>
              <w:t>消息类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赵亚东</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 出日 期</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28"/>
                <w:szCs w:val="28"/>
                <w:lang w:val="en-US" w:eastAsia="zh-CN"/>
              </w:rPr>
              <w:t>2025年3月10日</w:t>
            </w:r>
          </w:p>
        </w:tc>
        <w:tc>
          <w:tcPr>
            <w:tcW w:w="10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川庆门户网站</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链接</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https://ccde.eip.cnpc/news/mhcq/202504271408094115.aspx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8690"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作品评介：</w:t>
            </w:r>
          </w:p>
          <w:p>
            <w:pPr>
              <w:ind w:firstLine="420" w:firstLineChars="200"/>
              <w:rPr>
                <w:rFonts w:ascii="方正仿宋简体" w:hAnsi="宋体" w:eastAsia="方正仿宋简体" w:cs="Times New Roman"/>
                <w:sz w:val="32"/>
                <w:szCs w:val="32"/>
              </w:rPr>
            </w:pPr>
            <w:r>
              <w:rPr>
                <w:rFonts w:hint="eastAsia" w:ascii="方正仿宋简体" w:hAnsi="宋体" w:eastAsia="方正仿宋简体" w:cs="Times New Roman"/>
                <w:szCs w:val="21"/>
                <w:lang w:val="en-US" w:eastAsia="zh-CN"/>
              </w:rPr>
              <w:t>该新闻报道了新疆派特罗尔能源服务股份有限公司与钻井液公司签订总金额为1000万元的《磺化固废、油基固废处置拉运大包服务年度合同》的事件。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采编过程及刊后反映：</w:t>
            </w:r>
          </w:p>
          <w:p>
            <w:pPr>
              <w:ind w:firstLine="420" w:firstLineChars="200"/>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Cs w:val="21"/>
              </w:rPr>
              <w:t>采编过程</w:t>
            </w:r>
            <w:r>
              <w:rPr>
                <w:rFonts w:hint="eastAsia" w:ascii="方正仿宋简体" w:hAnsi="宋体" w:eastAsia="方正仿宋简体" w:cs="Times New Roman"/>
                <w:szCs w:val="21"/>
                <w:lang w:eastAsia="zh-CN"/>
              </w:rPr>
              <w:t>：</w:t>
            </w:r>
            <w:r>
              <w:rPr>
                <w:rFonts w:hint="eastAsia" w:ascii="方正仿宋简体" w:hAnsi="宋体" w:eastAsia="方正仿宋简体" w:cs="Times New Roman"/>
                <w:szCs w:val="21"/>
                <w:lang w:val="en-US" w:eastAsia="zh-CN"/>
              </w:rPr>
              <w:t>新闻记者作为参与此项工作的工作人员，详细地报道了能够成功签订此次合同背后的故事，讲述了钻井液公司在主动出击开拓市场、以过硬业务能力赢得订单的努力过程。</w:t>
            </w:r>
          </w:p>
          <w:p>
            <w:pPr>
              <w:ind w:firstLine="420" w:firstLineChars="200"/>
              <w:rPr>
                <w:rFonts w:ascii="方正仿宋简体" w:hAnsi="宋体" w:eastAsia="方正仿宋简体" w:cs="Times New Roman"/>
                <w:sz w:val="32"/>
                <w:szCs w:val="32"/>
              </w:rPr>
            </w:pPr>
            <w:r>
              <w:rPr>
                <w:rFonts w:hint="default" w:ascii="方正仿宋简体" w:hAnsi="宋体" w:eastAsia="方正仿宋简体" w:cs="Times New Roman"/>
                <w:szCs w:val="21"/>
                <w:lang w:val="en-US" w:eastAsia="zh-CN"/>
              </w:rPr>
              <w:t>刊后反映</w:t>
            </w:r>
            <w:r>
              <w:rPr>
                <w:rFonts w:hint="eastAsia" w:ascii="方正仿宋简体" w:hAnsi="宋体" w:eastAsia="方正仿宋简体" w:cs="Times New Roman"/>
                <w:szCs w:val="21"/>
                <w:lang w:val="en-US" w:eastAsia="zh-CN"/>
              </w:rPr>
              <w:t>：该作品刊载后，获得大量关注，是钻井液公司市场开拓的一次成功案例，该公司员工为公司市场开拓取得的良好成绩感到鼓</w:t>
            </w:r>
            <w:bookmarkStart w:id="0" w:name="_GoBack"/>
            <w:bookmarkEnd w:id="0"/>
            <w:r>
              <w:rPr>
                <w:rFonts w:hint="eastAsia" w:ascii="方正仿宋简体" w:hAnsi="宋体" w:eastAsia="方正仿宋简体" w:cs="Times New Roman"/>
                <w:szCs w:val="21"/>
                <w:lang w:val="en-US" w:eastAsia="zh-CN"/>
              </w:rPr>
              <w:t>舞和自豪。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5546039"/>
    <w:rsid w:val="05F65ADE"/>
    <w:rsid w:val="0645457A"/>
    <w:rsid w:val="06707658"/>
    <w:rsid w:val="08587929"/>
    <w:rsid w:val="0C165281"/>
    <w:rsid w:val="0E9A11BD"/>
    <w:rsid w:val="10663AB0"/>
    <w:rsid w:val="114255CE"/>
    <w:rsid w:val="11514A77"/>
    <w:rsid w:val="117B0743"/>
    <w:rsid w:val="14835613"/>
    <w:rsid w:val="161023EC"/>
    <w:rsid w:val="17446A97"/>
    <w:rsid w:val="17B71AA2"/>
    <w:rsid w:val="18586486"/>
    <w:rsid w:val="1915472C"/>
    <w:rsid w:val="1B7809BE"/>
    <w:rsid w:val="1C252C59"/>
    <w:rsid w:val="1D381568"/>
    <w:rsid w:val="1DA01CB7"/>
    <w:rsid w:val="20640B4C"/>
    <w:rsid w:val="21BE253B"/>
    <w:rsid w:val="239C2E54"/>
    <w:rsid w:val="25850996"/>
    <w:rsid w:val="26F14C48"/>
    <w:rsid w:val="28BA3A58"/>
    <w:rsid w:val="2C581688"/>
    <w:rsid w:val="2D885950"/>
    <w:rsid w:val="2EC403F4"/>
    <w:rsid w:val="2EC77324"/>
    <w:rsid w:val="2F1F1E10"/>
    <w:rsid w:val="33243F22"/>
    <w:rsid w:val="33AA5845"/>
    <w:rsid w:val="342B50AC"/>
    <w:rsid w:val="34EE2C3C"/>
    <w:rsid w:val="352E74DD"/>
    <w:rsid w:val="3A9F2FC6"/>
    <w:rsid w:val="3C8042FA"/>
    <w:rsid w:val="3FC51073"/>
    <w:rsid w:val="41114D08"/>
    <w:rsid w:val="418F5C9D"/>
    <w:rsid w:val="429F15F1"/>
    <w:rsid w:val="42F048A5"/>
    <w:rsid w:val="434B0544"/>
    <w:rsid w:val="450041BF"/>
    <w:rsid w:val="45170911"/>
    <w:rsid w:val="45B71854"/>
    <w:rsid w:val="46980CC6"/>
    <w:rsid w:val="469D6A24"/>
    <w:rsid w:val="49815886"/>
    <w:rsid w:val="49D0678D"/>
    <w:rsid w:val="513965FC"/>
    <w:rsid w:val="563644FE"/>
    <w:rsid w:val="598D2E62"/>
    <w:rsid w:val="5C0E6855"/>
    <w:rsid w:val="5DF2687C"/>
    <w:rsid w:val="5E59634C"/>
    <w:rsid w:val="5F9E65E4"/>
    <w:rsid w:val="63E316EB"/>
    <w:rsid w:val="63E867A9"/>
    <w:rsid w:val="64BA205C"/>
    <w:rsid w:val="69395C19"/>
    <w:rsid w:val="69485A20"/>
    <w:rsid w:val="6A022CDA"/>
    <w:rsid w:val="6C2D32A6"/>
    <w:rsid w:val="73637FBD"/>
    <w:rsid w:val="737A25EE"/>
    <w:rsid w:val="744F073E"/>
    <w:rsid w:val="751C24FC"/>
    <w:rsid w:val="76AD2BAB"/>
    <w:rsid w:val="773A7188"/>
    <w:rsid w:val="77ED0092"/>
    <w:rsid w:val="7865236C"/>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2</TotalTime>
  <ScaleCrop>false</ScaleCrop>
  <LinksUpToDate>false</LinksUpToDate>
  <CharactersWithSpaces>220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岳杨</cp:lastModifiedBy>
  <dcterms:modified xsi:type="dcterms:W3CDTF">2025-06-12T03:26:28Z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