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钻井液技术服务公司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459" w:type="dxa"/>
            <w:gridSpan w:val="5"/>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勇破三重矛盾 喜迎百万进尺</w:t>
            </w:r>
          </w:p>
        </w:tc>
        <w:tc>
          <w:tcPr>
            <w:tcW w:w="961"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2071" w:type="dxa"/>
            <w:tcBorders>
              <w:top w:val="single" w:color="auto" w:sz="4" w:space="0"/>
              <w:left w:val="single" w:color="auto" w:sz="4" w:space="0"/>
              <w:bottom w:val="single" w:color="auto" w:sz="4" w:space="0"/>
              <w:right w:val="single" w:color="auto" w:sz="4" w:space="0"/>
            </w:tcBorders>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28"/>
                <w:szCs w:val="28"/>
                <w:lang w:val="en-US" w:eastAsia="zh-CN"/>
              </w:rPr>
              <w:t>深度报道类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蒋恺琪</w:t>
            </w:r>
            <w:r>
              <w:rPr>
                <w:rFonts w:hint="eastAsia" w:ascii="方正仿宋简体" w:hAnsi="宋体" w:eastAsia="方正仿宋简体" w:cs="Times New Roman"/>
                <w:sz w:val="28"/>
                <w:szCs w:val="28"/>
                <w:lang w:eastAsia="zh-CN"/>
              </w:rPr>
              <w:t>、</w:t>
            </w:r>
            <w:r>
              <w:rPr>
                <w:rFonts w:ascii="方正仿宋简体" w:hAnsi="宋体" w:eastAsia="方正仿宋简体" w:cs="Times New Roman"/>
                <w:sz w:val="28"/>
                <w:szCs w:val="28"/>
              </w:rPr>
              <w:t>杨小平</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宋体" w:eastAsia="方正仿宋简体" w:cs="Times New Roman"/>
                <w:sz w:val="32"/>
                <w:szCs w:val="32"/>
                <w:lang w:val="en-US"/>
              </w:rPr>
            </w:pPr>
            <w:r>
              <w:rPr>
                <w:rFonts w:hint="eastAsia" w:ascii="方正仿宋简体" w:hAnsi="宋体" w:eastAsia="方正仿宋简体" w:cs="Times New Roman"/>
                <w:sz w:val="24"/>
                <w:szCs w:val="24"/>
                <w:lang w:val="en-US" w:eastAsia="zh-CN"/>
              </w:rPr>
              <w:t>2025年1月23日、2025年2月17日</w:t>
            </w:r>
          </w:p>
        </w:tc>
        <w:tc>
          <w:tcPr>
            <w:tcW w:w="10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《川庆钻探》杂志、川庆门户网站</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链接</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fldChar w:fldCharType="begin"/>
            </w:r>
            <w:r>
              <w:rPr>
                <w:rFonts w:hint="eastAsia" w:ascii="方正仿宋简体" w:hAnsi="宋体" w:eastAsia="方正仿宋简体" w:cs="Times New Roman"/>
                <w:sz w:val="28"/>
                <w:szCs w:val="28"/>
              </w:rPr>
              <w:instrText xml:space="preserve"> HYPERLINK "https://fileser.ccde.cnpc/zmh/sdcq/2502/index.html" </w:instrText>
            </w:r>
            <w:r>
              <w:rPr>
                <w:rFonts w:hint="eastAsia" w:ascii="方正仿宋简体" w:hAnsi="宋体" w:eastAsia="方正仿宋简体" w:cs="Times New Roman"/>
                <w:sz w:val="28"/>
                <w:szCs w:val="28"/>
              </w:rPr>
              <w:fldChar w:fldCharType="separate"/>
            </w:r>
            <w:r>
              <w:rPr>
                <w:rFonts w:hint="eastAsia" w:ascii="方正仿宋简体" w:hAnsi="宋体" w:eastAsia="方正仿宋简体" w:cs="Times New Roman"/>
                <w:sz w:val="28"/>
                <w:szCs w:val="28"/>
              </w:rPr>
              <w:t>https://fileser.ccde.cnpc/zmh/sdcq/2502/index.html</w:t>
            </w:r>
            <w:r>
              <w:rPr>
                <w:rFonts w:hint="eastAsia" w:ascii="方正仿宋简体" w:hAnsi="宋体" w:eastAsia="方正仿宋简体" w:cs="Times New Roman"/>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https://ccde.eip.cnpc/news/mhcq/20250214100812565.aspx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8690"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作品评介：</w:t>
            </w:r>
          </w:p>
          <w:p>
            <w:pPr>
              <w:ind w:firstLine="420" w:firstLineChars="200"/>
              <w:rPr>
                <w:rFonts w:ascii="方正仿宋简体" w:hAnsi="宋体" w:eastAsia="方正仿宋简体" w:cs="Times New Roman"/>
                <w:sz w:val="32"/>
                <w:szCs w:val="32"/>
              </w:rPr>
            </w:pPr>
            <w:r>
              <w:rPr>
                <w:rFonts w:hint="eastAsia" w:ascii="方正仿宋简体" w:hAnsi="宋体" w:eastAsia="方正仿宋简体" w:cs="Times New Roman"/>
                <w:szCs w:val="21"/>
                <w:lang w:val="en-US" w:eastAsia="zh-CN"/>
              </w:rPr>
              <w:t>该报道从钻井液公司的资源调配、技术赋能、应急</w:t>
            </w:r>
            <w:bookmarkStart w:id="0" w:name="_GoBack"/>
            <w:bookmarkEnd w:id="0"/>
            <w:r>
              <w:rPr>
                <w:rFonts w:hint="eastAsia" w:ascii="方正仿宋简体" w:hAnsi="宋体" w:eastAsia="方正仿宋简体" w:cs="Times New Roman"/>
                <w:szCs w:val="21"/>
                <w:lang w:val="en-US" w:eastAsia="zh-CN"/>
              </w:rPr>
              <w:t>保障三个方面，以详实的数据、生动的案例和清晰的逻辑，全面展现了该公司在2024年里，克服重重困难，服务进尺突破100万米大关的奋斗历程。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 w:val="32"/>
                <w:szCs w:val="32"/>
              </w:rPr>
              <w:t>采编过程及刊后反映：</w:t>
            </w:r>
          </w:p>
          <w:p>
            <w:pPr>
              <w:ind w:firstLine="420" w:firstLineChars="200"/>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Cs w:val="21"/>
                <w:lang w:val="en-US" w:eastAsia="zh-CN"/>
              </w:rPr>
              <w:t>采编过程：记者深入钻井液公司生产管理各环节进行了广泛、深入且细致的采访，覆盖了钻井液公司各层级、各环节的关键角色。同时，记者在海量专业信息中精准提炼核心点，使得文章整体逻辑框架清晰，增强了文章的可读性。</w:t>
            </w:r>
          </w:p>
          <w:p>
            <w:pPr>
              <w:ind w:firstLine="420" w:firstLineChars="200"/>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Cs w:val="21"/>
                <w:lang w:val="en-US" w:eastAsia="zh-CN"/>
              </w:rPr>
              <w:t>刊后反映：此篇文章作为记录钻井液公司年度重大成就和全体员工奋斗历程的深度报道，经《川庆钻探》与川庆门户网站刊载后，在该公司引起巨大反响和强烈共鸣，极大地鼓舞了士气，增强了员工的凝聚力和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5546039"/>
    <w:rsid w:val="05F65ADE"/>
    <w:rsid w:val="0645457A"/>
    <w:rsid w:val="06707658"/>
    <w:rsid w:val="08587929"/>
    <w:rsid w:val="0B384B8C"/>
    <w:rsid w:val="0C165281"/>
    <w:rsid w:val="0D206039"/>
    <w:rsid w:val="10663AB0"/>
    <w:rsid w:val="11514A77"/>
    <w:rsid w:val="117B0743"/>
    <w:rsid w:val="14835613"/>
    <w:rsid w:val="161023EC"/>
    <w:rsid w:val="17446A97"/>
    <w:rsid w:val="17B71AA2"/>
    <w:rsid w:val="18586486"/>
    <w:rsid w:val="1915472C"/>
    <w:rsid w:val="1B7809BE"/>
    <w:rsid w:val="1C252C59"/>
    <w:rsid w:val="1D381568"/>
    <w:rsid w:val="1DA01CB7"/>
    <w:rsid w:val="20640B4C"/>
    <w:rsid w:val="21BE253B"/>
    <w:rsid w:val="23281538"/>
    <w:rsid w:val="239C2E54"/>
    <w:rsid w:val="25850996"/>
    <w:rsid w:val="26F14C48"/>
    <w:rsid w:val="28BA3A58"/>
    <w:rsid w:val="2C581688"/>
    <w:rsid w:val="2D885950"/>
    <w:rsid w:val="2EC403F4"/>
    <w:rsid w:val="2EC77324"/>
    <w:rsid w:val="2F1F1E10"/>
    <w:rsid w:val="33243F22"/>
    <w:rsid w:val="33AA5845"/>
    <w:rsid w:val="342B50AC"/>
    <w:rsid w:val="34EE2C3C"/>
    <w:rsid w:val="352E74DD"/>
    <w:rsid w:val="39685F7E"/>
    <w:rsid w:val="3A9F2FC6"/>
    <w:rsid w:val="3C8042FA"/>
    <w:rsid w:val="3FC51073"/>
    <w:rsid w:val="41114D08"/>
    <w:rsid w:val="418F5C9D"/>
    <w:rsid w:val="429F15F1"/>
    <w:rsid w:val="42F048A5"/>
    <w:rsid w:val="450041BF"/>
    <w:rsid w:val="45170911"/>
    <w:rsid w:val="45B71854"/>
    <w:rsid w:val="46980CC6"/>
    <w:rsid w:val="469D6A24"/>
    <w:rsid w:val="49815886"/>
    <w:rsid w:val="49D0678D"/>
    <w:rsid w:val="513965FC"/>
    <w:rsid w:val="55DB6E6F"/>
    <w:rsid w:val="563644FE"/>
    <w:rsid w:val="583A2A31"/>
    <w:rsid w:val="5C0E6855"/>
    <w:rsid w:val="5E490E38"/>
    <w:rsid w:val="5E59634C"/>
    <w:rsid w:val="5F9E65E4"/>
    <w:rsid w:val="63E316EB"/>
    <w:rsid w:val="63E867A9"/>
    <w:rsid w:val="64BA205C"/>
    <w:rsid w:val="69395C19"/>
    <w:rsid w:val="69485A20"/>
    <w:rsid w:val="6A022CDA"/>
    <w:rsid w:val="6DAD2EF3"/>
    <w:rsid w:val="6F6D788E"/>
    <w:rsid w:val="73637FBD"/>
    <w:rsid w:val="744F073E"/>
    <w:rsid w:val="76AD2BAB"/>
    <w:rsid w:val="76FF019E"/>
    <w:rsid w:val="773A7188"/>
    <w:rsid w:val="77ED0092"/>
    <w:rsid w:val="7865236C"/>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3</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岳杨</cp:lastModifiedBy>
  <dcterms:modified xsi:type="dcterms:W3CDTF">2025-06-12T03:17:55Z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