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长庆钻井党委宣传部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0" w:afterAutospacing="0" w:line="525" w:lineRule="atLeast"/>
              <w:ind w:left="0" w:right="0" w:firstLine="0"/>
              <w:jc w:val="center"/>
              <w:rPr>
                <w:rFonts w:hint="eastAsia" w:ascii="方正仿宋简体" w:hAnsi="宋体" w:eastAsia="方正仿宋简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石油开发的“金刚钻”是怎样炼成的？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2"/>
                <w:lang w:eastAsia="zh-CN"/>
              </w:rPr>
              <w:t>通讯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2"/>
              </w:rPr>
              <w:t>（系列）类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齐永茂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赵犁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Cs w:val="21"/>
                <w:lang w:val="en-US" w:eastAsia="zh-CN"/>
              </w:rPr>
              <w:t>2025年6月3日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工人日报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https://www.workercn.cn/papers/grrb/2025/06/03/6/news-6.html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tabs>
                <w:tab w:val="left" w:pos="1345"/>
              </w:tabs>
              <w:ind w:firstLine="960" w:firstLineChars="400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全文紧扣疑问式标题层层展开，回答了当前美方关税背景下，石油企业如何打破国外先进技术垄断，实现科技自立自强，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tabs>
                <w:tab w:val="left" w:pos="795"/>
              </w:tabs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ab/>
            </w:r>
            <w:r>
              <w:rPr>
                <w:rFonts w:hint="eastAsia" w:ascii="方正仿宋简体" w:hAnsi="宋体" w:eastAsia="方正仿宋简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技术研发和工具制造人员讲述自主、自研和自造经历，回答了同类技术产品如何从垄断变为拥有，继而为石油钻井提供提速增效的有效技术支撑。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0ED165B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522FAD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7E3077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12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2025-06-13T02:19:17Z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