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文字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春节，我们的节日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深度报道类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 xml:space="preserve">李进荣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2025年3月31日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川庆钻探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https://fileser.ccde.cnpc/zmh/sdcq/2503/index.html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2024年12月4日，“春节”被列入联合国教科文组织人类非物质文化遗传代表作名录。作为油二代的作者以此为由头，通过时间轴线，展示了成长过程中不同时期欢度春节的景象。童年时油区的春节既传统又有油味，工作后的春节现代多元。通过春节的变化展示了时代的变化和进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作品语言朴实、情感充沛，在叙事中展示了时代大变化下，油区的发展变化和石油人生活的变化，唤起了读者的记忆。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F53F5"/>
    <w:rsid w:val="23C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2025-06-13T02:33:00Z</dcterms:created>
  <dc:creator>张领航</dc:creator>
  <cp:lastModifiedBy>张领航</cp:lastModifiedBy>
  <dcterms:modified xsi:type="dcterms:W3CDTF">2025-06-13T02:33:25Z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