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科研青年的“油气江湖”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曾鹏博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2025/7/31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https://ccde.eip.cnpc/news/mhcq/202507301432471848.aspx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这篇通讯以“油气江湖”为喻，巧借古典英雄形象锚定三位科研青年特质，将海外征战、技术攻坚、成长蜕变的故事写得鲜活动人。既凸显科研硬核底色，又赋予人物温度与豪情，为青年榜样报道注入新颖表达。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采编团队跟进青年科研人员日常，深挖海外一线、实验室深夜等场景细节，提炼人物与英雄的契合点。刊出后，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阅读量较高，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企业科研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  <w:lang w:val="en-US" w:eastAsia="zh-CN"/>
              </w:rPr>
              <w:t>青年群体中引发共鸣。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824890"/>
    <w:rsid w:val="1DA01CB7"/>
    <w:rsid w:val="20640B4C"/>
    <w:rsid w:val="21BE253B"/>
    <w:rsid w:val="239C2E54"/>
    <w:rsid w:val="25850996"/>
    <w:rsid w:val="26F14C48"/>
    <w:rsid w:val="26F342A9"/>
    <w:rsid w:val="27214047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